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0DE98" w14:textId="27244E37" w:rsidR="002E6B1F" w:rsidRPr="002E6B1F" w:rsidRDefault="002E6B1F" w:rsidP="002E6B1F">
      <w:r w:rsidRPr="002E6B1F">
        <w:t>To: Mr. Hunchard and Members of the Zoning Bo</w:t>
      </w:r>
      <w:bookmarkStart w:id="0" w:name="_GoBack"/>
      <w:bookmarkEnd w:id="0"/>
      <w:r w:rsidRPr="002E6B1F">
        <w:t>ard of Appeals</w:t>
      </w:r>
      <w:r w:rsidRPr="002E6B1F">
        <w:br/>
        <w:t>From: Gene Grella</w:t>
      </w:r>
      <w:r w:rsidRPr="002E6B1F">
        <w:br/>
        <w:t>Re: Counterpoint to Letter Supporting 444 East Central Street “Friendly 40B” Proposal</w:t>
      </w:r>
    </w:p>
    <w:p w14:paraId="442836F3" w14:textId="77777777" w:rsidR="002E6B1F" w:rsidRPr="002E6B1F" w:rsidRDefault="00370BDA" w:rsidP="002E6B1F">
      <w:r>
        <w:pict w14:anchorId="6EBD5A2E">
          <v:rect id="_x0000_i1025" style="width:0;height:1.5pt" o:hralign="center" o:hrstd="t" o:hr="t" fillcolor="#a0a0a0" stroked="f"/>
        </w:pict>
      </w:r>
    </w:p>
    <w:p w14:paraId="55D0D7ED" w14:textId="77777777" w:rsidR="002E6B1F" w:rsidRPr="002E6B1F" w:rsidRDefault="002E6B1F" w:rsidP="002E6B1F">
      <w:r w:rsidRPr="002E6B1F">
        <w:t>Dear Mr. Hunchard and Members of the ZBA,</w:t>
      </w:r>
    </w:p>
    <w:p w14:paraId="47F87C29" w14:textId="77777777" w:rsidR="002E6B1F" w:rsidRPr="002E6B1F" w:rsidRDefault="002E6B1F" w:rsidP="002E6B1F">
      <w:r w:rsidRPr="002E6B1F">
        <w:t>While some residents have expressed support for the proposed apartment complex at 444 East Central Street, I respectfully submit this letter to provide a more complete and balanced analysis of the project’s fiscal and community impacts.</w:t>
      </w:r>
    </w:p>
    <w:p w14:paraId="22BFFB4D" w14:textId="77777777" w:rsidR="002E6B1F" w:rsidRPr="002E6B1F" w:rsidRDefault="002E6B1F" w:rsidP="002E6B1F">
      <w:r w:rsidRPr="002E6B1F">
        <w:t>The argument that this project will yield significant tax benefits while placing minimal demands on Town resources is misleading and incomplete when examined in context.</w:t>
      </w:r>
    </w:p>
    <w:p w14:paraId="3A187A9C" w14:textId="77777777" w:rsidR="002E6B1F" w:rsidRPr="002E6B1F" w:rsidRDefault="00370BDA" w:rsidP="002E6B1F">
      <w:r>
        <w:pict w14:anchorId="71398621">
          <v:rect id="_x0000_i1026" style="width:0;height:1.5pt" o:hralign="center" o:hrstd="t" o:hr="t" fillcolor="#a0a0a0" stroked="f"/>
        </w:pict>
      </w:r>
    </w:p>
    <w:p w14:paraId="58249101" w14:textId="77777777" w:rsidR="002E6B1F" w:rsidRPr="002E6B1F" w:rsidRDefault="002E6B1F" w:rsidP="002E6B1F">
      <w:r w:rsidRPr="002E6B1F">
        <w:t>1. Assessing “Revenue” Without Considering the Cost Burden Is Inaccurate</w:t>
      </w:r>
    </w:p>
    <w:p w14:paraId="0DDBC781" w14:textId="77777777" w:rsidR="002E6B1F" w:rsidRPr="002E6B1F" w:rsidRDefault="002E6B1F" w:rsidP="002E6B1F">
      <w:r w:rsidRPr="002E6B1F">
        <w:t xml:space="preserve">It is true that large apartment complexes like Station 117 produce higher </w:t>
      </w:r>
      <w:r w:rsidRPr="002E6B1F">
        <w:rPr>
          <w:i/>
          <w:iCs/>
        </w:rPr>
        <w:t>gross</w:t>
      </w:r>
      <w:r w:rsidRPr="002E6B1F">
        <w:t xml:space="preserve"> tax receipts due to their assessed value.</w:t>
      </w:r>
      <w:r w:rsidRPr="002E6B1F">
        <w:br/>
        <w:t>However, gross revenue is not the same as net fiscal benefit.</w:t>
      </w:r>
    </w:p>
    <w:p w14:paraId="4381682B" w14:textId="77777777" w:rsidR="002E6B1F" w:rsidRPr="002E6B1F" w:rsidRDefault="002E6B1F" w:rsidP="002E6B1F">
      <w:pPr>
        <w:numPr>
          <w:ilvl w:val="0"/>
          <w:numId w:val="1"/>
        </w:numPr>
      </w:pPr>
      <w:r w:rsidRPr="002E6B1F">
        <w:t>Multi-family rental developments create substantially higher service demands—particularly on police, fire, schools, and public works.</w:t>
      </w:r>
    </w:p>
    <w:p w14:paraId="56861E53" w14:textId="77777777" w:rsidR="002E6B1F" w:rsidRPr="002E6B1F" w:rsidRDefault="002E6B1F" w:rsidP="002E6B1F">
      <w:pPr>
        <w:numPr>
          <w:ilvl w:val="0"/>
          <w:numId w:val="1"/>
        </w:numPr>
      </w:pPr>
      <w:r w:rsidRPr="002E6B1F">
        <w:t>According to Massachusetts Department of Revenue and University of Massachusetts (Donahue Institute) studies, apartment projects often cost municipalities more in annual services than they generate in new tax revenue, especially when including affordable-unit mandates that reduce tax assessments.</w:t>
      </w:r>
    </w:p>
    <w:p w14:paraId="724634C9" w14:textId="77777777" w:rsidR="002E6B1F" w:rsidRPr="002E6B1F" w:rsidRDefault="002E6B1F" w:rsidP="002E6B1F">
      <w:pPr>
        <w:numPr>
          <w:ilvl w:val="0"/>
          <w:numId w:val="1"/>
        </w:numPr>
      </w:pPr>
      <w:r w:rsidRPr="002E6B1F">
        <w:t>The claim that the Town avoids infrastructure costs ignores that the Town must still provide full public safety coverage, school enrollment capacity, traffic management, water supply, and sewer treatment for hundreds of new residents.</w:t>
      </w:r>
    </w:p>
    <w:p w14:paraId="0A63ECAC" w14:textId="77777777" w:rsidR="002E6B1F" w:rsidRPr="002E6B1F" w:rsidRDefault="002E6B1F" w:rsidP="002E6B1F">
      <w:r w:rsidRPr="002E6B1F">
        <w:t xml:space="preserve">In short, it is not sufficient to look at the property tax bill in isolation. The </w:t>
      </w:r>
      <w:r w:rsidRPr="002E6B1F">
        <w:rPr>
          <w:i/>
          <w:iCs/>
        </w:rPr>
        <w:t>net</w:t>
      </w:r>
      <w:r w:rsidRPr="002E6B1F">
        <w:t xml:space="preserve"> fiscal effect—revenues minus costs—is the true measure of benefit, and evidence statewide shows that high-density rental projects often result in a net loss to towns.</w:t>
      </w:r>
    </w:p>
    <w:p w14:paraId="367B3A75" w14:textId="77777777" w:rsidR="002E6B1F" w:rsidRPr="002E6B1F" w:rsidRDefault="00370BDA" w:rsidP="002E6B1F">
      <w:r>
        <w:pict w14:anchorId="46DB8C1C">
          <v:rect id="_x0000_i1027" style="width:0;height:1.5pt" o:hralign="center" o:hrstd="t" o:hr="t" fillcolor="#a0a0a0" stroked="f"/>
        </w:pict>
      </w:r>
    </w:p>
    <w:p w14:paraId="101B70A1" w14:textId="77777777" w:rsidR="002E6B1F" w:rsidRPr="002E6B1F" w:rsidRDefault="002E6B1F">
      <w:r w:rsidRPr="002E6B1F">
        <w:br w:type="page"/>
      </w:r>
    </w:p>
    <w:p w14:paraId="307E6848" w14:textId="57631B4E" w:rsidR="002E6B1F" w:rsidRPr="002E6B1F" w:rsidRDefault="002E6B1F" w:rsidP="002E6B1F">
      <w:r w:rsidRPr="002E6B1F">
        <w:lastRenderedPageBreak/>
        <w:t>2. Station 117 Is Not a Fair Comparison</w:t>
      </w:r>
    </w:p>
    <w:p w14:paraId="7C735A75" w14:textId="77777777" w:rsidR="002E6B1F" w:rsidRPr="002E6B1F" w:rsidRDefault="002E6B1F" w:rsidP="002E6B1F">
      <w:r w:rsidRPr="002E6B1F">
        <w:t>The comparison between Station 117 and a small residential subdivision like Red Gate Lane overlooks major differences in context and impact.</w:t>
      </w:r>
    </w:p>
    <w:p w14:paraId="70624591" w14:textId="77777777" w:rsidR="002E6B1F" w:rsidRPr="002E6B1F" w:rsidRDefault="002E6B1F" w:rsidP="002E6B1F">
      <w:pPr>
        <w:numPr>
          <w:ilvl w:val="0"/>
          <w:numId w:val="2"/>
        </w:numPr>
      </w:pPr>
      <w:r w:rsidRPr="002E6B1F">
        <w:t>Station 117 sits adjacent to commuter rail, dense commercial uses, and major infrastructure corridors—very different from the semi-residential, environmentally sensitive area of 444 East Central Street.</w:t>
      </w:r>
    </w:p>
    <w:p w14:paraId="0513D0AD" w14:textId="77777777" w:rsidR="002E6B1F" w:rsidRPr="002E6B1F" w:rsidRDefault="002E6B1F" w:rsidP="002E6B1F">
      <w:pPr>
        <w:numPr>
          <w:ilvl w:val="0"/>
          <w:numId w:val="2"/>
        </w:numPr>
      </w:pPr>
      <w:r w:rsidRPr="002E6B1F">
        <w:t>The sale price of Station 117 in 2021 reflects market speculation and capitalization rates—not the underlying tax assessment formula used by the Town. Assessments cannot simply be pegged to sale price without comprehensive revaluation.</w:t>
      </w:r>
    </w:p>
    <w:p w14:paraId="64394035" w14:textId="77777777" w:rsidR="002E6B1F" w:rsidRPr="002E6B1F" w:rsidRDefault="002E6B1F" w:rsidP="002E6B1F">
      <w:pPr>
        <w:numPr>
          <w:ilvl w:val="0"/>
          <w:numId w:val="2"/>
        </w:numPr>
      </w:pPr>
      <w:r w:rsidRPr="002E6B1F">
        <w:t>Importantly, Station 117 has already introduced significant traffic, parking, and school enrollment impacts that required mitigation. Replicating that density at 444 East Central would multiply those pressures.</w:t>
      </w:r>
    </w:p>
    <w:p w14:paraId="03611669" w14:textId="77777777" w:rsidR="002E6B1F" w:rsidRPr="002E6B1F" w:rsidRDefault="00370BDA" w:rsidP="002E6B1F">
      <w:r>
        <w:pict w14:anchorId="6F9AEC34">
          <v:rect id="_x0000_i1028" style="width:0;height:1.5pt" o:hralign="center" o:hrstd="t" o:hr="t" fillcolor="#a0a0a0" stroked="f"/>
        </w:pict>
      </w:r>
    </w:p>
    <w:p w14:paraId="3EA575DD" w14:textId="77777777" w:rsidR="002E6B1F" w:rsidRPr="002E6B1F" w:rsidRDefault="002E6B1F" w:rsidP="002E6B1F">
      <w:r w:rsidRPr="002E6B1F">
        <w:t>3. Ignoring Environmental and Public Health Costs Skews the Fiscal Picture</w:t>
      </w:r>
    </w:p>
    <w:p w14:paraId="6CA77035" w14:textId="77777777" w:rsidR="002E6B1F" w:rsidRPr="002E6B1F" w:rsidRDefault="002E6B1F" w:rsidP="002E6B1F">
      <w:r w:rsidRPr="002E6B1F">
        <w:t>The 444 East Central parcel lies within the Zone II recharge area of Public Water Supply Well #9, an area subject to heightened environmental protection.</w:t>
      </w:r>
    </w:p>
    <w:p w14:paraId="6E8881AF" w14:textId="77777777" w:rsidR="002E6B1F" w:rsidRPr="002E6B1F" w:rsidRDefault="002E6B1F" w:rsidP="002E6B1F">
      <w:pPr>
        <w:numPr>
          <w:ilvl w:val="0"/>
          <w:numId w:val="3"/>
        </w:numPr>
      </w:pPr>
      <w:r w:rsidRPr="002E6B1F">
        <w:t>Increased impervious surface area, stormwater runoff, and wastewater volume pose real costs—both financial and environmental—that the Town will bear in perpetuity.</w:t>
      </w:r>
    </w:p>
    <w:p w14:paraId="18FD310B" w14:textId="77777777" w:rsidR="002E6B1F" w:rsidRPr="002E6B1F" w:rsidRDefault="002E6B1F" w:rsidP="002E6B1F">
      <w:r w:rsidRPr="002E6B1F">
        <w:t>Thus, even if tax revenue appears higher on paper, unfunded environmental liabilities and water-system risks could outweigh those gains over time.</w:t>
      </w:r>
    </w:p>
    <w:p w14:paraId="444F3EAC" w14:textId="77777777" w:rsidR="002E6B1F" w:rsidRPr="002E6B1F" w:rsidRDefault="00370BDA" w:rsidP="002E6B1F">
      <w:r>
        <w:pict w14:anchorId="25648585">
          <v:rect id="_x0000_i1029" style="width:0;height:1.5pt" o:hralign="center" o:hrstd="t" o:hr="t" fillcolor="#a0a0a0" stroked="f"/>
        </w:pict>
      </w:r>
    </w:p>
    <w:p w14:paraId="23B33DFD" w14:textId="77777777" w:rsidR="002E6B1F" w:rsidRPr="002E6B1F" w:rsidRDefault="002E6B1F">
      <w:r w:rsidRPr="002E6B1F">
        <w:br w:type="page"/>
      </w:r>
    </w:p>
    <w:p w14:paraId="2F2437DC" w14:textId="6AC85D61" w:rsidR="002E6B1F" w:rsidRPr="002E6B1F" w:rsidRDefault="002E6B1F" w:rsidP="002E6B1F">
      <w:r w:rsidRPr="002E6B1F">
        <w:lastRenderedPageBreak/>
        <w:t>4. Housing Needs Should Be Met Responsibly</w:t>
      </w:r>
    </w:p>
    <w:p w14:paraId="0CCBB576" w14:textId="2E5DCE2E" w:rsidR="002E6B1F" w:rsidRPr="002E6B1F" w:rsidRDefault="002E6B1F" w:rsidP="002E6B1F">
      <w:r w:rsidRPr="002E6B1F">
        <w:t>No one disputes that affordable housing is an important regional goal. But Franklin has already exceeded the 10% affordable housing threshold, meaning the Town is not under a statutory obligation to approve this project.</w:t>
      </w:r>
      <w:r w:rsidRPr="002E6B1F">
        <w:br/>
      </w:r>
      <w:r w:rsidRPr="002E6B1F">
        <w:br/>
        <w:t>Responsible planning means balancing growth with sustainability, infrastructure capacity, and public health—not approving every large-scale project labeled as “affordable,” especially when only a fraction of units actually meet affordable criteria.</w:t>
      </w:r>
    </w:p>
    <w:p w14:paraId="7DFD22AA" w14:textId="77777777" w:rsidR="002E6B1F" w:rsidRPr="002E6B1F" w:rsidRDefault="00370BDA" w:rsidP="002E6B1F">
      <w:r>
        <w:pict w14:anchorId="1C631842">
          <v:rect id="_x0000_i1030" style="width:0;height:1.5pt" o:hralign="center" o:hrstd="t" o:hr="t" fillcolor="#a0a0a0" stroked="f"/>
        </w:pict>
      </w:r>
    </w:p>
    <w:p w14:paraId="7327D9CD" w14:textId="36D95625" w:rsidR="002E6B1F" w:rsidRPr="002E6B1F" w:rsidRDefault="002E6B1F" w:rsidP="002E6B1F">
      <w:r w:rsidRPr="002E6B1F">
        <w:t>5. Conclusion</w:t>
      </w:r>
    </w:p>
    <w:p w14:paraId="5ADB8C06" w14:textId="77777777" w:rsidR="002E6B1F" w:rsidRPr="002E6B1F" w:rsidRDefault="002E6B1F" w:rsidP="002E6B1F">
      <w:r w:rsidRPr="002E6B1F">
        <w:t>In summary, the fiscal argument presented in favor of the 444 East Central Street project is incomplete and potentially misleading. True fiscal responsibility requires evaluating net costs, environmental risk, and community impact, not just gross revenue.</w:t>
      </w:r>
    </w:p>
    <w:p w14:paraId="3397BA71" w14:textId="77777777" w:rsidR="002E6B1F" w:rsidRPr="002E6B1F" w:rsidRDefault="002E6B1F" w:rsidP="002E6B1F">
      <w:r w:rsidRPr="002E6B1F">
        <w:t>Approving this project may generate a short-term increase in assessed value, but it would impose long-term operational, environmental, and quality-of-life costs that the Town cannot ignore.</w:t>
      </w:r>
    </w:p>
    <w:p w14:paraId="5ED848FB" w14:textId="77777777" w:rsidR="002E6B1F" w:rsidRPr="002E6B1F" w:rsidRDefault="002E6B1F" w:rsidP="002E6B1F">
      <w:r w:rsidRPr="002E6B1F">
        <w:t>I urge the Zoning Board to carefully weigh these factors, and to consider that rescinding the Town’s prior LIP endorsement reflects a responsible reassessment of the project’s overall impact—not opposition to housing, but a commitment to balanced and sustainable growth.</w:t>
      </w:r>
    </w:p>
    <w:p w14:paraId="2A74AD69" w14:textId="77777777" w:rsidR="002E6B1F" w:rsidRPr="002E6B1F" w:rsidRDefault="00370BDA" w:rsidP="002E6B1F">
      <w:r>
        <w:pict w14:anchorId="20A666C2">
          <v:rect id="_x0000_i1031" style="width:0;height:1.5pt" o:hralign="center" o:hrstd="t" o:hr="t" fillcolor="#a0a0a0" stroked="f"/>
        </w:pict>
      </w:r>
    </w:p>
    <w:p w14:paraId="592D6205" w14:textId="6EBD6A95" w:rsidR="002E6B1F" w:rsidRPr="002E6B1F" w:rsidRDefault="002E6B1F" w:rsidP="002E6B1F">
      <w:r w:rsidRPr="002E6B1F">
        <w:t>Respectfully submitted,</w:t>
      </w:r>
      <w:r w:rsidRPr="002E6B1F">
        <w:br/>
        <w:t>Gene Grella</w:t>
      </w:r>
      <w:r w:rsidRPr="002E6B1F">
        <w:br/>
        <w:t>36 Red Gate Ln, Franklin MA</w:t>
      </w:r>
      <w:r w:rsidRPr="002E6B1F">
        <w:br/>
        <w:t>10/23/25</w:t>
      </w:r>
    </w:p>
    <w:p w14:paraId="0FB53182" w14:textId="77777777" w:rsidR="00C35FD7" w:rsidRDefault="00C35FD7"/>
    <w:sectPr w:rsidR="00C35F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424282"/>
    <w:multiLevelType w:val="multilevel"/>
    <w:tmpl w:val="7EF64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56730E"/>
    <w:multiLevelType w:val="multilevel"/>
    <w:tmpl w:val="7CA2C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A255C1"/>
    <w:multiLevelType w:val="multilevel"/>
    <w:tmpl w:val="33D6F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B1F"/>
    <w:rsid w:val="002B2770"/>
    <w:rsid w:val="002E6B1F"/>
    <w:rsid w:val="00370BDA"/>
    <w:rsid w:val="0047724F"/>
    <w:rsid w:val="00907442"/>
    <w:rsid w:val="0091469D"/>
    <w:rsid w:val="00C35FD7"/>
    <w:rsid w:val="00C42AE3"/>
    <w:rsid w:val="00FB7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0B00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6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1F"/>
    <w:rPr>
      <w:rFonts w:eastAsiaTheme="majorEastAsia" w:cstheme="majorBidi"/>
      <w:color w:val="272727" w:themeColor="text1" w:themeTint="D8"/>
    </w:rPr>
  </w:style>
  <w:style w:type="paragraph" w:styleId="Title">
    <w:name w:val="Title"/>
    <w:basedOn w:val="Normal"/>
    <w:next w:val="Normal"/>
    <w:link w:val="TitleChar"/>
    <w:uiPriority w:val="10"/>
    <w:qFormat/>
    <w:rsid w:val="002E6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1F"/>
    <w:pPr>
      <w:spacing w:before="160"/>
      <w:jc w:val="center"/>
    </w:pPr>
    <w:rPr>
      <w:i/>
      <w:iCs/>
      <w:color w:val="404040" w:themeColor="text1" w:themeTint="BF"/>
    </w:rPr>
  </w:style>
  <w:style w:type="character" w:customStyle="1" w:styleId="QuoteChar">
    <w:name w:val="Quote Char"/>
    <w:basedOn w:val="DefaultParagraphFont"/>
    <w:link w:val="Quote"/>
    <w:uiPriority w:val="29"/>
    <w:rsid w:val="002E6B1F"/>
    <w:rPr>
      <w:i/>
      <w:iCs/>
      <w:color w:val="404040" w:themeColor="text1" w:themeTint="BF"/>
    </w:rPr>
  </w:style>
  <w:style w:type="paragraph" w:styleId="ListParagraph">
    <w:name w:val="List Paragraph"/>
    <w:basedOn w:val="Normal"/>
    <w:uiPriority w:val="34"/>
    <w:qFormat/>
    <w:rsid w:val="002E6B1F"/>
    <w:pPr>
      <w:ind w:left="720"/>
      <w:contextualSpacing/>
    </w:pPr>
  </w:style>
  <w:style w:type="character" w:styleId="IntenseEmphasis">
    <w:name w:val="Intense Emphasis"/>
    <w:basedOn w:val="DefaultParagraphFont"/>
    <w:uiPriority w:val="21"/>
    <w:qFormat/>
    <w:rsid w:val="002E6B1F"/>
    <w:rPr>
      <w:i/>
      <w:iCs/>
      <w:color w:val="2F5496" w:themeColor="accent1" w:themeShade="BF"/>
    </w:rPr>
  </w:style>
  <w:style w:type="paragraph" w:styleId="IntenseQuote">
    <w:name w:val="Intense Quote"/>
    <w:basedOn w:val="Normal"/>
    <w:next w:val="Normal"/>
    <w:link w:val="IntenseQuoteChar"/>
    <w:uiPriority w:val="30"/>
    <w:qFormat/>
    <w:rsid w:val="002E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B1F"/>
    <w:rPr>
      <w:i/>
      <w:iCs/>
      <w:color w:val="2F5496" w:themeColor="accent1" w:themeShade="BF"/>
    </w:rPr>
  </w:style>
  <w:style w:type="character" w:styleId="IntenseReference">
    <w:name w:val="Intense Reference"/>
    <w:basedOn w:val="DefaultParagraphFont"/>
    <w:uiPriority w:val="32"/>
    <w:qFormat/>
    <w:rsid w:val="002E6B1F"/>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6B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6B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6B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6B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6B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6B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6B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6B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6B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6B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6B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6B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6B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6B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6B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6B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6B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6B1F"/>
    <w:rPr>
      <w:rFonts w:eastAsiaTheme="majorEastAsia" w:cstheme="majorBidi"/>
      <w:color w:val="272727" w:themeColor="text1" w:themeTint="D8"/>
    </w:rPr>
  </w:style>
  <w:style w:type="paragraph" w:styleId="Title">
    <w:name w:val="Title"/>
    <w:basedOn w:val="Normal"/>
    <w:next w:val="Normal"/>
    <w:link w:val="TitleChar"/>
    <w:uiPriority w:val="10"/>
    <w:qFormat/>
    <w:rsid w:val="002E6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6B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6B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6B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6B1F"/>
    <w:pPr>
      <w:spacing w:before="160"/>
      <w:jc w:val="center"/>
    </w:pPr>
    <w:rPr>
      <w:i/>
      <w:iCs/>
      <w:color w:val="404040" w:themeColor="text1" w:themeTint="BF"/>
    </w:rPr>
  </w:style>
  <w:style w:type="character" w:customStyle="1" w:styleId="QuoteChar">
    <w:name w:val="Quote Char"/>
    <w:basedOn w:val="DefaultParagraphFont"/>
    <w:link w:val="Quote"/>
    <w:uiPriority w:val="29"/>
    <w:rsid w:val="002E6B1F"/>
    <w:rPr>
      <w:i/>
      <w:iCs/>
      <w:color w:val="404040" w:themeColor="text1" w:themeTint="BF"/>
    </w:rPr>
  </w:style>
  <w:style w:type="paragraph" w:styleId="ListParagraph">
    <w:name w:val="List Paragraph"/>
    <w:basedOn w:val="Normal"/>
    <w:uiPriority w:val="34"/>
    <w:qFormat/>
    <w:rsid w:val="002E6B1F"/>
    <w:pPr>
      <w:ind w:left="720"/>
      <w:contextualSpacing/>
    </w:pPr>
  </w:style>
  <w:style w:type="character" w:styleId="IntenseEmphasis">
    <w:name w:val="Intense Emphasis"/>
    <w:basedOn w:val="DefaultParagraphFont"/>
    <w:uiPriority w:val="21"/>
    <w:qFormat/>
    <w:rsid w:val="002E6B1F"/>
    <w:rPr>
      <w:i/>
      <w:iCs/>
      <w:color w:val="2F5496" w:themeColor="accent1" w:themeShade="BF"/>
    </w:rPr>
  </w:style>
  <w:style w:type="paragraph" w:styleId="IntenseQuote">
    <w:name w:val="Intense Quote"/>
    <w:basedOn w:val="Normal"/>
    <w:next w:val="Normal"/>
    <w:link w:val="IntenseQuoteChar"/>
    <w:uiPriority w:val="30"/>
    <w:qFormat/>
    <w:rsid w:val="002E6B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6B1F"/>
    <w:rPr>
      <w:i/>
      <w:iCs/>
      <w:color w:val="2F5496" w:themeColor="accent1" w:themeShade="BF"/>
    </w:rPr>
  </w:style>
  <w:style w:type="character" w:styleId="IntenseReference">
    <w:name w:val="Intense Reference"/>
    <w:basedOn w:val="DefaultParagraphFont"/>
    <w:uiPriority w:val="32"/>
    <w:qFormat/>
    <w:rsid w:val="002E6B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671</Words>
  <Characters>3827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Franklin Public Schools</Company>
  <LinksUpToDate>false</LinksUpToDate>
  <CharactersWithSpaces>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 Grella</dc:creator>
  <cp:lastModifiedBy>Casey Thayer</cp:lastModifiedBy>
  <cp:revision>2</cp:revision>
  <dcterms:created xsi:type="dcterms:W3CDTF">2025-10-23T22:34:00Z</dcterms:created>
  <dcterms:modified xsi:type="dcterms:W3CDTF">2025-10-23T22:34:00Z</dcterms:modified>
</cp:coreProperties>
</file>